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9DB1" w14:textId="77777777" w:rsidR="001D5FD1" w:rsidRDefault="001D5FD1" w:rsidP="001D5FD1">
      <w:pPr>
        <w:spacing w:after="80" w:line="256" w:lineRule="auto"/>
        <w:rPr>
          <w:rStyle w:val="Strong"/>
        </w:rPr>
      </w:pPr>
    </w:p>
    <w:p w14:paraId="1A2AF71D" w14:textId="61BCE3E5" w:rsidR="001D5FD1" w:rsidRPr="000A21D1" w:rsidRDefault="001D5FD1" w:rsidP="001D5FD1">
      <w:pPr>
        <w:spacing w:after="80" w:line="256" w:lineRule="auto"/>
        <w:jc w:val="center"/>
        <w:rPr>
          <w:rStyle w:val="Strong"/>
          <w:color w:val="auto"/>
          <w:u w:val="single"/>
        </w:rPr>
      </w:pPr>
      <w:r w:rsidRPr="000A21D1">
        <w:rPr>
          <w:rStyle w:val="Strong"/>
          <w:color w:val="auto"/>
          <w:u w:val="single"/>
        </w:rPr>
        <w:t>NDEvR supported Studentship</w:t>
      </w:r>
      <w:r w:rsidR="002D04CD" w:rsidRPr="000A21D1">
        <w:rPr>
          <w:rStyle w:val="Strong"/>
          <w:color w:val="auto"/>
          <w:u w:val="single"/>
        </w:rPr>
        <w:t>s</w:t>
      </w:r>
      <w:r w:rsidRPr="000A21D1">
        <w:rPr>
          <w:rStyle w:val="Strong"/>
          <w:color w:val="auto"/>
          <w:u w:val="single"/>
        </w:rPr>
        <w:t xml:space="preserve"> Application Process</w:t>
      </w:r>
    </w:p>
    <w:p w14:paraId="4EAEB0A2" w14:textId="455C7F42" w:rsidR="00467FF5" w:rsidRPr="000A21D1" w:rsidRDefault="00467FF5" w:rsidP="005D5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With the aim of continuing to provide doctoral-level training under the RCNDE umbrella, NDEvR, on behalf of </w:t>
      </w:r>
      <w:r w:rsidR="002368F0" w:rsidRPr="000A21D1">
        <w:rPr>
          <w:rFonts w:eastAsia="Times New Roman" w:cs="Times New Roman"/>
          <w:kern w:val="0"/>
          <w:lang w:eastAsia="en-GB"/>
          <w14:ligatures w14:val="none"/>
        </w:rPr>
        <w:t>the RCNDE</w:t>
      </w:r>
      <w:r w:rsidR="00CD4517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membership, commits to supporting two half-studentships, each at a funding level of £70,000 for the 2026-27 intake. These funds are intended to contribute toward</w:t>
      </w:r>
      <w:r w:rsidR="00805E59" w:rsidRPr="000A21D1">
        <w:rPr>
          <w:rFonts w:eastAsia="Times New Roman" w:cs="Times New Roman"/>
          <w:kern w:val="0"/>
          <w:lang w:eastAsia="en-GB"/>
          <w14:ligatures w14:val="none"/>
        </w:rPr>
        <w:t>s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 the students’ stipends and cover costs associated with the training elements of their studies</w:t>
      </w:r>
      <w:r w:rsidR="00431FE8" w:rsidRPr="000A21D1">
        <w:rPr>
          <w:rFonts w:eastAsia="Times New Roman" w:cs="Times New Roman"/>
          <w:kern w:val="0"/>
          <w:lang w:eastAsia="en-GB"/>
          <w14:ligatures w14:val="none"/>
        </w:rPr>
        <w:t>*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1EBB1D48" w14:textId="5CCD3F3B" w:rsidR="00467FF5" w:rsidRPr="000A21D1" w:rsidRDefault="00467FF5" w:rsidP="005D5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>This funding is allocated from RCNDE’s Core funds</w:t>
      </w:r>
      <w:r w:rsidR="00CD4517" w:rsidRPr="000A21D1">
        <w:rPr>
          <w:rFonts w:eastAsia="Times New Roman" w:cs="Times New Roman"/>
          <w:kern w:val="0"/>
          <w:lang w:eastAsia="en-GB"/>
          <w14:ligatures w14:val="none"/>
        </w:rPr>
        <w:t xml:space="preserve"> and, a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s such, the two supported projects will be </w:t>
      </w:r>
      <w:r w:rsidR="00BE5BF1" w:rsidRPr="000A21D1">
        <w:rPr>
          <w:rFonts w:eastAsia="Times New Roman" w:cs="Times New Roman"/>
          <w:kern w:val="0"/>
          <w:lang w:eastAsia="en-GB"/>
          <w14:ligatures w14:val="none"/>
        </w:rPr>
        <w:t xml:space="preserve">determined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through an electronic vote conducted by the industrial members.</w:t>
      </w:r>
    </w:p>
    <w:p w14:paraId="0B5F1240" w14:textId="534D3618" w:rsidR="00467FF5" w:rsidRPr="000A21D1" w:rsidRDefault="00467FF5" w:rsidP="005D5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>It is anticipated that the remaining half of each studentship will be funded through internal Doctoral Landscape Awards allocated</w:t>
      </w:r>
      <w:r w:rsidR="00186F8E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805E59" w:rsidRPr="000A21D1">
        <w:rPr>
          <w:rFonts w:eastAsia="Times New Roman" w:cs="Times New Roman"/>
          <w:kern w:val="0"/>
          <w:lang w:eastAsia="en-GB"/>
          <w14:ligatures w14:val="none"/>
        </w:rPr>
        <w:t>to the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 RCNDE universities, or through similar</w:t>
      </w:r>
      <w:r w:rsidR="002368F0" w:rsidRPr="000A21D1">
        <w:rPr>
          <w:rFonts w:eastAsia="Times New Roman" w:cs="Times New Roman"/>
          <w:kern w:val="0"/>
          <w:lang w:eastAsia="en-GB"/>
          <w14:ligatures w14:val="none"/>
        </w:rPr>
        <w:t xml:space="preserve"> or other</w:t>
      </w:r>
      <w:r w:rsidR="004B16A0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funding streams dedicated to doctoral training.</w:t>
      </w:r>
    </w:p>
    <w:p w14:paraId="594BD27A" w14:textId="5FAC4526" w:rsidR="00467FF5" w:rsidRPr="000A21D1" w:rsidRDefault="00467FF5" w:rsidP="005D518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By establishing a structured selection process, industrial members will gain visibility of the proposals submitted, allowing them to identify and </w:t>
      </w:r>
      <w:r w:rsidR="003A1856" w:rsidRPr="000A21D1">
        <w:rPr>
          <w:rFonts w:eastAsia="Times New Roman" w:cs="Times New Roman"/>
          <w:kern w:val="0"/>
          <w:lang w:eastAsia="en-GB"/>
          <w14:ligatures w14:val="none"/>
        </w:rPr>
        <w:t>directly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 sponsor or co-sponsor projects that align with their strategic objectives.</w:t>
      </w:r>
      <w:r w:rsidR="00C25A5C" w:rsidRPr="000A21D1">
        <w:rPr>
          <w:rFonts w:eastAsia="Times New Roman" w:cs="Times New Roman"/>
          <w:kern w:val="0"/>
          <w:lang w:eastAsia="en-GB"/>
          <w14:ligatures w14:val="none"/>
        </w:rPr>
        <w:t xml:space="preserve"> In this case, the company</w:t>
      </w:r>
      <w:r w:rsidR="006A281D" w:rsidRPr="000A21D1">
        <w:rPr>
          <w:rFonts w:eastAsia="Times New Roman" w:cs="Times New Roman"/>
          <w:kern w:val="0"/>
          <w:lang w:eastAsia="en-GB"/>
          <w14:ligatures w14:val="none"/>
        </w:rPr>
        <w:t xml:space="preserve">, or companies, </w:t>
      </w:r>
      <w:r w:rsidR="00C25A5C" w:rsidRPr="000A21D1">
        <w:rPr>
          <w:rFonts w:eastAsia="Times New Roman" w:cs="Times New Roman"/>
          <w:kern w:val="0"/>
          <w:lang w:eastAsia="en-GB"/>
          <w14:ligatures w14:val="none"/>
        </w:rPr>
        <w:t>commit</w:t>
      </w:r>
      <w:r w:rsidR="006A281D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C25A5C" w:rsidRPr="000A21D1">
        <w:rPr>
          <w:rFonts w:eastAsia="Times New Roman" w:cs="Times New Roman"/>
          <w:kern w:val="0"/>
          <w:lang w:eastAsia="en-GB"/>
          <w14:ligatures w14:val="none"/>
        </w:rPr>
        <w:t>to providing the full £70,000 funding themselves. Projects sponsored directly in this way will be handled directly between the sponsoring compan</w:t>
      </w:r>
      <w:r w:rsidR="006A281D" w:rsidRPr="000A21D1">
        <w:rPr>
          <w:rFonts w:eastAsia="Times New Roman" w:cs="Times New Roman"/>
          <w:kern w:val="0"/>
          <w:lang w:eastAsia="en-GB"/>
          <w14:ligatures w14:val="none"/>
        </w:rPr>
        <w:t>y</w:t>
      </w:r>
      <w:r w:rsidR="0011131E" w:rsidRPr="000A21D1">
        <w:rPr>
          <w:rFonts w:eastAsia="Times New Roman" w:cs="Times New Roman"/>
          <w:kern w:val="0"/>
          <w:lang w:eastAsia="en-GB"/>
          <w14:ligatures w14:val="none"/>
        </w:rPr>
        <w:t xml:space="preserve">, or companies, </w:t>
      </w:r>
      <w:r w:rsidR="00C25A5C" w:rsidRPr="000A21D1">
        <w:rPr>
          <w:rFonts w:eastAsia="Times New Roman" w:cs="Times New Roman"/>
          <w:kern w:val="0"/>
          <w:lang w:eastAsia="en-GB"/>
          <w14:ligatures w14:val="none"/>
        </w:rPr>
        <w:t>and the hosting university.</w:t>
      </w:r>
      <w:r w:rsidR="000445FA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64B14A6F" w14:textId="3001446E" w:rsidR="001D5FD1" w:rsidRPr="000A21D1" w:rsidRDefault="003112D5" w:rsidP="005D5182">
      <w:pPr>
        <w:spacing w:after="80" w:line="256" w:lineRule="auto"/>
        <w:jc w:val="both"/>
        <w:rPr>
          <w:rStyle w:val="Strong"/>
          <w:b w:val="0"/>
          <w:bCs w:val="0"/>
          <w:color w:val="auto"/>
        </w:rPr>
      </w:pPr>
      <w:r w:rsidRPr="000A21D1">
        <w:rPr>
          <w:rStyle w:val="Strong"/>
          <w:color w:val="auto"/>
        </w:rPr>
        <w:t>Applica</w:t>
      </w:r>
      <w:r w:rsidR="001D5FD1" w:rsidRPr="000A21D1">
        <w:rPr>
          <w:rStyle w:val="Strong"/>
          <w:color w:val="auto"/>
        </w:rPr>
        <w:t>tion process:</w:t>
      </w:r>
    </w:p>
    <w:p w14:paraId="3DC0F2E3" w14:textId="30E33054" w:rsidR="00BE5BF1" w:rsidRPr="000A21D1" w:rsidRDefault="00BE5BF1" w:rsidP="005D518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Project Submission: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Academics are invited to submit their project proposals by the end of June, using a standard template provided by the RCNDE Management Team (MT).</w:t>
      </w:r>
    </w:p>
    <w:p w14:paraId="2E32C96E" w14:textId="7C175945" w:rsidR="00BE5BF1" w:rsidRPr="000A21D1" w:rsidRDefault="00BE5BF1" w:rsidP="005D518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Initial Review: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Submitted projects will undergo a review and approval process aligned with the FIND CDT’s established procedures. This review will be completed by the end of July</w:t>
      </w:r>
      <w:r w:rsidR="00E43E8D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B97E7D" w:rsidRPr="000A21D1">
        <w:rPr>
          <w:rFonts w:eastAsia="Times New Roman" w:cs="Times New Roman"/>
          <w:kern w:val="0"/>
          <w:lang w:eastAsia="en-GB"/>
          <w14:ligatures w14:val="none"/>
        </w:rPr>
        <w:t>by the FIND CDT’s Management Board.</w:t>
      </w:r>
    </w:p>
    <w:p w14:paraId="796E186C" w14:textId="4EB971BC" w:rsidR="00F773E2" w:rsidRPr="000A21D1" w:rsidRDefault="00BE5BF1" w:rsidP="005D5182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Industrial Member Evaluation: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Approved project proposals will be shared with RCNDE Board members</w:t>
      </w:r>
      <w:r w:rsidR="00F773E2" w:rsidRPr="000A21D1">
        <w:rPr>
          <w:rFonts w:eastAsia="Times New Roman" w:cs="Times New Roman"/>
          <w:kern w:val="0"/>
          <w:lang w:eastAsia="en-GB"/>
          <w14:ligatures w14:val="none"/>
        </w:rPr>
        <w:t xml:space="preserve">, which will be able to identify and express interest in sponsoring or co-sponsoring specific projects directly. These projects will be removed </w:t>
      </w:r>
      <w:r w:rsidR="004512B1" w:rsidRPr="000A21D1">
        <w:rPr>
          <w:rFonts w:eastAsia="Times New Roman" w:cs="Times New Roman"/>
          <w:kern w:val="0"/>
          <w:lang w:eastAsia="en-GB"/>
          <w14:ligatures w14:val="none"/>
        </w:rPr>
        <w:t>from</w:t>
      </w:r>
      <w:r w:rsidR="00F773E2" w:rsidRPr="000A21D1">
        <w:rPr>
          <w:rFonts w:eastAsia="Times New Roman" w:cs="Times New Roman"/>
          <w:kern w:val="0"/>
          <w:lang w:eastAsia="en-GB"/>
          <w14:ligatures w14:val="none"/>
        </w:rPr>
        <w:t xml:space="preserve"> the general voting pool. </w:t>
      </w:r>
      <w:r w:rsidR="00E868AB" w:rsidRPr="000A21D1">
        <w:rPr>
          <w:rFonts w:eastAsia="Times New Roman" w:cs="Times New Roman"/>
          <w:kern w:val="0"/>
          <w:lang w:eastAsia="en-GB"/>
          <w14:ligatures w14:val="none"/>
        </w:rPr>
        <w:t>Requesting the removal of a project from the voting pool implies a firm commitment from the requesting company to sponsor the project.</w:t>
      </w:r>
      <w:r w:rsidR="00055C56" w:rsidRPr="000A21D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E868AB" w:rsidRPr="000A21D1">
        <w:rPr>
          <w:rFonts w:eastAsia="Times New Roman" w:cs="Times New Roman"/>
          <w:kern w:val="0"/>
          <w:lang w:eastAsia="en-GB"/>
          <w14:ligatures w14:val="none"/>
        </w:rPr>
        <w:t>This clause is intended to prevent strong projects from being withdrawn from the selection process and ultimately left unfunded.</w:t>
      </w:r>
    </w:p>
    <w:p w14:paraId="6D664811" w14:textId="54BC87B8" w:rsidR="00BE5BF1" w:rsidRPr="000A21D1" w:rsidRDefault="00F773E2" w:rsidP="005D518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>For those projects that remain in the voting pool, the i</w:t>
      </w:r>
      <w:r w:rsidR="00BE5BF1" w:rsidRPr="000A21D1">
        <w:rPr>
          <w:rFonts w:eastAsia="Times New Roman" w:cs="Times New Roman"/>
          <w:kern w:val="0"/>
          <w:lang w:eastAsia="en-GB"/>
          <w14:ligatures w14:val="none"/>
        </w:rPr>
        <w:t>ndustrial members will evaluate each proposal based on relevance and interest to their organisation</w:t>
      </w:r>
      <w:r w:rsidR="00230A72" w:rsidRPr="000A21D1">
        <w:rPr>
          <w:rFonts w:eastAsia="Times New Roman" w:cs="Times New Roman"/>
          <w:kern w:val="0"/>
          <w:lang w:eastAsia="en-GB"/>
          <w14:ligatures w14:val="none"/>
        </w:rPr>
        <w:br/>
      </w:r>
      <w:r w:rsidR="00BE5BF1" w:rsidRPr="000A21D1">
        <w:rPr>
          <w:rFonts w:eastAsia="Times New Roman" w:cs="Times New Roman"/>
          <w:kern w:val="0"/>
          <w:lang w:eastAsia="en-GB"/>
          <w14:ligatures w14:val="none"/>
        </w:rPr>
        <w:t>[Score</w:t>
      </w:r>
      <w:r w:rsidR="00D812D1" w:rsidRPr="000A21D1">
        <w:rPr>
          <w:rFonts w:eastAsia="Times New Roman" w:cs="Times New Roman"/>
          <w:kern w:val="0"/>
          <w:lang w:eastAsia="en-GB"/>
          <w14:ligatures w14:val="none"/>
        </w:rPr>
        <w:t xml:space="preserve"> system:</w:t>
      </w:r>
      <w:r w:rsidR="00BE5BF1" w:rsidRPr="000A21D1">
        <w:rPr>
          <w:rFonts w:eastAsia="Times New Roman" w:cs="Times New Roman"/>
          <w:kern w:val="0"/>
          <w:lang w:eastAsia="en-GB"/>
          <w14:ligatures w14:val="none"/>
        </w:rPr>
        <w:t xml:space="preserve"> 0=No interest; 1= Some interest; </w:t>
      </w:r>
      <w:r w:rsidR="0062372A" w:rsidRPr="000A21D1">
        <w:rPr>
          <w:rFonts w:eastAsia="Times New Roman" w:cs="Times New Roman"/>
          <w:kern w:val="0"/>
          <w:lang w:eastAsia="en-GB"/>
          <w14:ligatures w14:val="none"/>
        </w:rPr>
        <w:t>3</w:t>
      </w:r>
      <w:r w:rsidR="00BE5BF1" w:rsidRPr="000A21D1">
        <w:rPr>
          <w:rFonts w:eastAsia="Times New Roman" w:cs="Times New Roman"/>
          <w:kern w:val="0"/>
          <w:lang w:eastAsia="en-GB"/>
          <w14:ligatures w14:val="none"/>
        </w:rPr>
        <w:t>=High interest].</w:t>
      </w:r>
    </w:p>
    <w:p w14:paraId="138BFD45" w14:textId="32F4FE4E" w:rsidR="00FF7A97" w:rsidRPr="000A21D1" w:rsidRDefault="00FF7A97" w:rsidP="005D5182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A minimum threshold of 13 points must be achieved to pass to the next </w:t>
      </w:r>
      <w:r w:rsidR="00074A3B" w:rsidRPr="000A21D1">
        <w:rPr>
          <w:rFonts w:eastAsia="Times New Roman" w:cs="Times New Roman"/>
          <w:kern w:val="0"/>
          <w:lang w:eastAsia="en-GB"/>
          <w14:ligatures w14:val="none"/>
        </w:rPr>
        <w:t>st</w:t>
      </w:r>
      <w:r w:rsidR="00C11EBA" w:rsidRPr="000A21D1">
        <w:rPr>
          <w:rFonts w:eastAsia="Times New Roman" w:cs="Times New Roman"/>
          <w:kern w:val="0"/>
          <w:lang w:eastAsia="en-GB"/>
          <w14:ligatures w14:val="none"/>
        </w:rPr>
        <w:t>age</w:t>
      </w:r>
      <w:r w:rsidR="00074A3B" w:rsidRPr="000A21D1">
        <w:rPr>
          <w:rFonts w:eastAsia="Times New Roman" w:cs="Times New Roman"/>
          <w:kern w:val="0"/>
          <w:lang w:eastAsia="en-GB"/>
          <w14:ligatures w14:val="none"/>
        </w:rPr>
        <w:t xml:space="preserve"> of the process. </w:t>
      </w:r>
      <w:r w:rsidR="00AC6DC6" w:rsidRPr="000A21D1">
        <w:rPr>
          <w:rFonts w:eastAsia="Times New Roman" w:cs="Times New Roman"/>
          <w:kern w:val="0"/>
          <w:lang w:eastAsia="en-GB"/>
          <w14:ligatures w14:val="none"/>
        </w:rPr>
        <w:t xml:space="preserve">This threshold can be reviewed in future to adapt in changes in </w:t>
      </w:r>
      <w:r w:rsidR="00366C7E" w:rsidRPr="000A21D1"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="00AC6DC6" w:rsidRPr="000A21D1">
        <w:rPr>
          <w:rFonts w:eastAsia="Times New Roman" w:cs="Times New Roman"/>
          <w:kern w:val="0"/>
          <w:lang w:eastAsia="en-GB"/>
          <w14:ligatures w14:val="none"/>
        </w:rPr>
        <w:t>voting membership.</w:t>
      </w:r>
    </w:p>
    <w:p w14:paraId="6B97D21D" w14:textId="64B1F677" w:rsidR="00074A3B" w:rsidRPr="000A21D1" w:rsidRDefault="00074A3B" w:rsidP="005D5182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To ensure </w:t>
      </w:r>
      <w:r w:rsidR="0054428F" w:rsidRPr="000A21D1">
        <w:rPr>
          <w:rFonts w:eastAsia="Times New Roman" w:cs="Times New Roman"/>
          <w:kern w:val="0"/>
          <w:lang w:eastAsia="en-GB"/>
          <w14:ligatures w14:val="none"/>
        </w:rPr>
        <w:t>an equitable distribution of RCNDE funds across all universities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 xml:space="preserve">, only one </w:t>
      </w:r>
      <w:r w:rsidR="00C11EBA" w:rsidRPr="000A21D1">
        <w:rPr>
          <w:rFonts w:eastAsia="Times New Roman" w:cs="Times New Roman"/>
          <w:kern w:val="0"/>
          <w:lang w:eastAsia="en-GB"/>
          <w14:ligatures w14:val="none"/>
        </w:rPr>
        <w:t xml:space="preserve">project per university </w:t>
      </w:r>
      <w:r w:rsidR="004512B1" w:rsidRPr="000A21D1">
        <w:rPr>
          <w:rFonts w:eastAsia="Times New Roman" w:cs="Times New Roman"/>
          <w:kern w:val="0"/>
          <w:lang w:eastAsia="en-GB"/>
          <w14:ligatures w14:val="none"/>
        </w:rPr>
        <w:t>shall</w:t>
      </w:r>
      <w:r w:rsidR="00C11EBA" w:rsidRPr="000A21D1">
        <w:rPr>
          <w:rFonts w:eastAsia="Times New Roman" w:cs="Times New Roman"/>
          <w:kern w:val="0"/>
          <w:lang w:eastAsia="en-GB"/>
          <w14:ligatures w14:val="none"/>
        </w:rPr>
        <w:t xml:space="preserve"> pass to the next stage of the process. </w:t>
      </w:r>
    </w:p>
    <w:p w14:paraId="1F6C5266" w14:textId="0A19CB93" w:rsidR="00AC6DC6" w:rsidRPr="000A21D1" w:rsidRDefault="00BE5BF1" w:rsidP="00AC6D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0A21D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Final Selection: </w:t>
      </w:r>
      <w:r w:rsidRPr="000A21D1">
        <w:rPr>
          <w:rFonts w:eastAsia="Times New Roman" w:cs="Times New Roman"/>
          <w:kern w:val="0"/>
          <w:lang w:eastAsia="en-GB"/>
          <w14:ligatures w14:val="none"/>
        </w:rPr>
        <w:t>The results of the industrial ranking will be presented at the September Board meeting, where final project approval will take place.</w:t>
      </w:r>
      <w:r w:rsidR="000445FA" w:rsidRPr="000A21D1">
        <w:rPr>
          <w:rFonts w:eastAsia="Times New Roman" w:cs="Times New Roman"/>
          <w:kern w:val="0"/>
          <w:lang w:eastAsia="en-GB"/>
          <w14:ligatures w14:val="none"/>
        </w:rPr>
        <w:br/>
      </w:r>
      <w:r w:rsidR="000445FA" w:rsidRPr="000A21D1">
        <w:t xml:space="preserve">At this point, the original list of studentship proposals will be shared with RCNDE Associate members to allow them to identify projects that they would like to sponsor. </w:t>
      </w:r>
    </w:p>
    <w:p w14:paraId="0EA67D30" w14:textId="0A58739F" w:rsidR="0063558F" w:rsidRPr="000A21D1" w:rsidRDefault="00BE5BF1" w:rsidP="005D5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0A21D1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Funding Allocation: </w:t>
      </w:r>
      <w:r w:rsidR="00C25A5C" w:rsidRPr="000A21D1"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="00C25A5C" w:rsidRPr="000A21D1">
        <w:t>top</w:t>
      </w:r>
      <w:r w:rsidR="00C80A15" w:rsidRPr="000A21D1">
        <w:t xml:space="preserve"> four</w:t>
      </w:r>
      <w:r w:rsidR="00C25A5C" w:rsidRPr="000A21D1">
        <w:t xml:space="preserve"> projects </w:t>
      </w:r>
      <w:r w:rsidR="008A166D" w:rsidRPr="000A21D1">
        <w:rPr>
          <w:rFonts w:eastAsia="Times New Roman" w:cs="Times New Roman"/>
          <w:kern w:val="0"/>
          <w:lang w:eastAsia="en-GB"/>
          <w14:ligatures w14:val="none"/>
        </w:rPr>
        <w:t>can proceed to student recruitment</w:t>
      </w:r>
      <w:r w:rsidR="008A166D" w:rsidRPr="000A21D1">
        <w:t xml:space="preserve">. In the event that </w:t>
      </w:r>
      <w:r w:rsidR="00C80A15" w:rsidRPr="000A21D1">
        <w:t>more than two</w:t>
      </w:r>
      <w:r w:rsidR="00603B05" w:rsidRPr="000A21D1">
        <w:t xml:space="preserve"> projects are able to recruit a student, the funding allocated to </w:t>
      </w:r>
      <w:r w:rsidR="00603B05" w:rsidRPr="000A21D1">
        <w:lastRenderedPageBreak/>
        <w:t>the following year’s call will be brought forward.</w:t>
      </w:r>
      <w:r w:rsidR="003168E3" w:rsidRPr="000A21D1">
        <w:t xml:space="preserve"> The cut off point for </w:t>
      </w:r>
      <w:r w:rsidR="00F97183" w:rsidRPr="000A21D1">
        <w:t>recruiting</w:t>
      </w:r>
      <w:r w:rsidR="003168E3" w:rsidRPr="000A21D1">
        <w:t xml:space="preserve"> students will be May of the year</w:t>
      </w:r>
      <w:r w:rsidR="00F97183" w:rsidRPr="000A21D1">
        <w:t xml:space="preserve"> the studentship is expected to start (i.e., May 2026 for an October 2026 start).</w:t>
      </w:r>
    </w:p>
    <w:p w14:paraId="773BDEAA" w14:textId="0136FE4A" w:rsidR="0063558F" w:rsidRPr="000A21D1" w:rsidRDefault="00B964E6" w:rsidP="005D5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A21D1">
        <w:rPr>
          <w:b/>
          <w:bCs/>
        </w:rPr>
        <w:t>Recruitment phase</w:t>
      </w:r>
      <w:r w:rsidR="0063558F" w:rsidRPr="000A21D1">
        <w:rPr>
          <w:b/>
          <w:bCs/>
        </w:rPr>
        <w:t>:</w:t>
      </w:r>
      <w:r w:rsidR="0063558F" w:rsidRPr="000A21D1">
        <w:t xml:space="preserve"> from </w:t>
      </w:r>
      <w:r w:rsidRPr="000A21D1">
        <w:t>October onwards</w:t>
      </w:r>
      <w:r w:rsidR="0063558F" w:rsidRPr="000A21D1">
        <w:t>.</w:t>
      </w:r>
    </w:p>
    <w:p w14:paraId="2BA950B4" w14:textId="1EE705AC" w:rsidR="00530BD0" w:rsidRPr="000A21D1" w:rsidRDefault="00B964E6" w:rsidP="005D518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0A21D1">
        <w:rPr>
          <w:b/>
          <w:bCs/>
        </w:rPr>
        <w:t>Projects start</w:t>
      </w:r>
      <w:r w:rsidR="0063558F" w:rsidRPr="000A21D1">
        <w:rPr>
          <w:b/>
          <w:bCs/>
        </w:rPr>
        <w:t>:</w:t>
      </w:r>
      <w:r w:rsidR="0063558F" w:rsidRPr="000A21D1">
        <w:t xml:space="preserve"> </w:t>
      </w:r>
      <w:r w:rsidRPr="000A21D1">
        <w:t>October 2026</w:t>
      </w:r>
      <w:r w:rsidR="0063558F" w:rsidRPr="000A21D1">
        <w:t>,</w:t>
      </w:r>
      <w:r w:rsidRPr="000A21D1">
        <w:t xml:space="preserve"> or earlier</w:t>
      </w:r>
      <w:r w:rsidR="0063558F" w:rsidRPr="000A21D1">
        <w:t xml:space="preserve"> if a suitable </w:t>
      </w:r>
      <w:r w:rsidR="00C452AC" w:rsidRPr="000A21D1">
        <w:t>candidate is recruited.</w:t>
      </w:r>
    </w:p>
    <w:p w14:paraId="7C5031C8" w14:textId="77777777" w:rsidR="009E2D38" w:rsidRPr="000A21D1" w:rsidRDefault="009E2D38">
      <w:pPr>
        <w:spacing w:line="278" w:lineRule="auto"/>
      </w:pPr>
    </w:p>
    <w:p w14:paraId="38C03A77" w14:textId="77777777" w:rsidR="009E2D38" w:rsidRPr="000A21D1" w:rsidRDefault="009E2D38">
      <w:pPr>
        <w:spacing w:line="278" w:lineRule="auto"/>
      </w:pPr>
    </w:p>
    <w:p w14:paraId="1FD14E09" w14:textId="35A0BE15" w:rsidR="009E2D38" w:rsidRPr="000A21D1" w:rsidRDefault="005C1748" w:rsidP="009E2D38">
      <w:pPr>
        <w:spacing w:line="278" w:lineRule="auto"/>
      </w:pPr>
      <w:r w:rsidRPr="000A21D1">
        <w:t xml:space="preserve"> </w:t>
      </w:r>
      <w:r w:rsidR="009E2D38" w:rsidRPr="000A21D1">
        <w:t>*</w:t>
      </w:r>
      <w:r w:rsidRPr="000A21D1">
        <w:t xml:space="preserve">  </w:t>
      </w:r>
      <w:r w:rsidR="00397C44" w:rsidRPr="000A21D1">
        <w:t>FIND CDT’s training programme includes the following</w:t>
      </w:r>
      <w:r w:rsidR="0088496A" w:rsidRPr="000A21D1">
        <w:t xml:space="preserve"> 20-credits units delivered </w:t>
      </w:r>
      <w:r w:rsidR="00986D84" w:rsidRPr="000A21D1">
        <w:t>over six residential weeks</w:t>
      </w:r>
      <w:r w:rsidR="00397C44" w:rsidRPr="000A21D1">
        <w:t>:</w:t>
      </w:r>
    </w:p>
    <w:p w14:paraId="620449F8" w14:textId="77777777" w:rsidR="005C1748" w:rsidRPr="000A21D1" w:rsidRDefault="005C1748" w:rsidP="0088496A">
      <w:pPr>
        <w:pStyle w:val="ListParagraph"/>
        <w:numPr>
          <w:ilvl w:val="0"/>
          <w:numId w:val="5"/>
        </w:numPr>
        <w:spacing w:line="278" w:lineRule="auto"/>
      </w:pPr>
      <w:r w:rsidRPr="000A21D1">
        <w:t xml:space="preserve">Ultrasonic NDT and Data Analysis </w:t>
      </w:r>
    </w:p>
    <w:p w14:paraId="5996949E" w14:textId="77777777" w:rsidR="005C1748" w:rsidRPr="000A21D1" w:rsidRDefault="005C1748" w:rsidP="0088496A">
      <w:pPr>
        <w:pStyle w:val="ListParagraph"/>
        <w:numPr>
          <w:ilvl w:val="0"/>
          <w:numId w:val="5"/>
        </w:numPr>
        <w:spacing w:line="278" w:lineRule="auto"/>
      </w:pPr>
      <w:r w:rsidRPr="000A21D1">
        <w:t xml:space="preserve">Ultrasonic Transduction &amp; Optical and Thermal Methods </w:t>
      </w:r>
    </w:p>
    <w:p w14:paraId="7E9A5BCA" w14:textId="00D04852" w:rsidR="005C1748" w:rsidRPr="000A21D1" w:rsidRDefault="005C1748" w:rsidP="0088496A">
      <w:pPr>
        <w:pStyle w:val="ListParagraph"/>
        <w:numPr>
          <w:ilvl w:val="0"/>
          <w:numId w:val="5"/>
        </w:numPr>
        <w:spacing w:line="278" w:lineRule="auto"/>
      </w:pPr>
      <w:r w:rsidRPr="000A21D1">
        <w:t>Electromagnetic Methods and Radiography</w:t>
      </w:r>
    </w:p>
    <w:p w14:paraId="49A206E9" w14:textId="1394587B" w:rsidR="00986D84" w:rsidRPr="000A21D1" w:rsidRDefault="00986D84" w:rsidP="00986D84">
      <w:pPr>
        <w:spacing w:line="278" w:lineRule="auto"/>
      </w:pPr>
      <w:r w:rsidRPr="000A21D1">
        <w:t xml:space="preserve">Additionally, there is an NDE </w:t>
      </w:r>
      <w:r w:rsidR="001C3C0C" w:rsidRPr="000A21D1">
        <w:t xml:space="preserve">Practical Training at Lavenders that lasts two weeks. </w:t>
      </w:r>
      <w:r w:rsidRPr="000A21D1">
        <w:t xml:space="preserve"> </w:t>
      </w:r>
    </w:p>
    <w:p w14:paraId="59C7D851" w14:textId="6A8B5821" w:rsidR="0008774A" w:rsidRPr="000A21D1" w:rsidRDefault="0008774A" w:rsidP="00986D84">
      <w:pPr>
        <w:spacing w:line="278" w:lineRule="auto"/>
      </w:pPr>
      <w:r w:rsidRPr="000A21D1">
        <w:t>The students supported via this funding will also be expected to attend the annual FIND CDT conference</w:t>
      </w:r>
      <w:r w:rsidR="00410FAB" w:rsidRPr="000A21D1">
        <w:t xml:space="preserve"> that takes place alongside the RCNDE Annual Research Review.</w:t>
      </w:r>
    </w:p>
    <w:p w14:paraId="185BA8FE" w14:textId="77777777" w:rsidR="00397C44" w:rsidRPr="000A21D1" w:rsidRDefault="00397C44" w:rsidP="009E2D38">
      <w:pPr>
        <w:spacing w:line="278" w:lineRule="auto"/>
      </w:pPr>
    </w:p>
    <w:p w14:paraId="1D78F496" w14:textId="77777777" w:rsidR="009E2D38" w:rsidRPr="000A21D1" w:rsidRDefault="009E2D38">
      <w:pPr>
        <w:spacing w:line="278" w:lineRule="auto"/>
      </w:pPr>
      <w:r w:rsidRPr="000A21D1">
        <w:br w:type="page"/>
      </w:r>
    </w:p>
    <w:p w14:paraId="423F491A" w14:textId="77777777" w:rsidR="00530BD0" w:rsidRDefault="00530BD0">
      <w:pPr>
        <w:spacing w:line="278" w:lineRule="auto"/>
      </w:pPr>
    </w:p>
    <w:p w14:paraId="638921EA" w14:textId="62E8FB22" w:rsidR="001D5FD1" w:rsidRPr="000154CA" w:rsidRDefault="00530BD0" w:rsidP="000154CA">
      <w:pPr>
        <w:spacing w:before="100" w:beforeAutospacing="1" w:after="100" w:afterAutospacing="1" w:line="240" w:lineRule="auto"/>
        <w:jc w:val="center"/>
        <w:rPr>
          <w:b/>
          <w:bCs/>
          <w:u w:val="single"/>
        </w:rPr>
      </w:pPr>
      <w:r w:rsidRPr="000154CA">
        <w:rPr>
          <w:b/>
          <w:bCs/>
          <w:u w:val="single"/>
        </w:rPr>
        <w:t>Application Form</w:t>
      </w:r>
      <w:r w:rsidR="000154CA" w:rsidRPr="000154CA">
        <w:rPr>
          <w:b/>
          <w:bCs/>
          <w:u w:val="single"/>
        </w:rPr>
        <w:t xml:space="preserve"> </w:t>
      </w:r>
      <w:r w:rsidR="000154CA" w:rsidRPr="000154CA">
        <w:rPr>
          <w:b/>
          <w:bCs/>
          <w:color w:val="EE0000"/>
        </w:rPr>
        <w:t>(</w:t>
      </w:r>
      <w:r w:rsidR="00AE00FE">
        <w:rPr>
          <w:b/>
          <w:bCs/>
          <w:color w:val="EE0000"/>
        </w:rPr>
        <w:t>2</w:t>
      </w:r>
      <w:r w:rsidR="000154CA" w:rsidRPr="000154CA">
        <w:rPr>
          <w:b/>
          <w:bCs/>
          <w:color w:val="EE0000"/>
        </w:rPr>
        <w:t>-page total)</w:t>
      </w:r>
    </w:p>
    <w:p w14:paraId="1905219F" w14:textId="57A2ED49" w:rsidR="007E00DB" w:rsidRPr="00583CBB" w:rsidRDefault="007E00DB" w:rsidP="007E00DB">
      <w:pPr>
        <w:spacing w:before="100" w:beforeAutospacing="1" w:after="100" w:afterAutospacing="1" w:line="240" w:lineRule="auto"/>
        <w:jc w:val="both"/>
      </w:pPr>
      <w:r w:rsidRPr="00583CBB">
        <w:rPr>
          <w:b/>
          <w:bCs/>
        </w:rPr>
        <w:t>Title</w:t>
      </w:r>
      <w:r w:rsidR="00583CBB">
        <w:rPr>
          <w:b/>
          <w:bCs/>
        </w:rPr>
        <w:t>:</w:t>
      </w:r>
      <w:r w:rsidRPr="00583CBB">
        <w:t xml:space="preserve">  </w:t>
      </w:r>
    </w:p>
    <w:p w14:paraId="74E77F84" w14:textId="7C141FC5" w:rsidR="007E00DB" w:rsidRPr="00583CBB" w:rsidRDefault="007E00DB" w:rsidP="007E00DB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583CBB">
        <w:rPr>
          <w:b/>
          <w:bCs/>
        </w:rPr>
        <w:t xml:space="preserve">University: </w:t>
      </w:r>
    </w:p>
    <w:p w14:paraId="7013D1FA" w14:textId="2B13C6AC" w:rsidR="007E00DB" w:rsidRPr="00583CBB" w:rsidRDefault="007E00DB" w:rsidP="007E00DB">
      <w:pPr>
        <w:spacing w:before="100" w:beforeAutospacing="1" w:after="100" w:afterAutospacing="1" w:line="240" w:lineRule="auto"/>
        <w:jc w:val="both"/>
      </w:pPr>
      <w:r w:rsidRPr="00583CBB">
        <w:rPr>
          <w:b/>
          <w:bCs/>
        </w:rPr>
        <w:t xml:space="preserve">Main academic supervisor: </w:t>
      </w:r>
    </w:p>
    <w:p w14:paraId="436B5ABB" w14:textId="1E746373" w:rsidR="007E00DB" w:rsidRDefault="007E00DB" w:rsidP="007E00DB">
      <w:pPr>
        <w:spacing w:before="100" w:beforeAutospacing="1" w:after="100" w:afterAutospacing="1" w:line="240" w:lineRule="auto"/>
        <w:jc w:val="both"/>
      </w:pPr>
      <w:r w:rsidRPr="00583CBB">
        <w:rPr>
          <w:b/>
          <w:bCs/>
        </w:rPr>
        <w:t>2nd academic supervisor (option</w:t>
      </w:r>
      <w:r w:rsidR="00583CBB">
        <w:rPr>
          <w:b/>
          <w:bCs/>
        </w:rPr>
        <w:t>al):</w:t>
      </w:r>
    </w:p>
    <w:p w14:paraId="589ACB9F" w14:textId="3635622B" w:rsidR="00530BD0" w:rsidRDefault="007E00DB" w:rsidP="007E00DB">
      <w:pPr>
        <w:spacing w:before="100" w:beforeAutospacing="1" w:after="100" w:afterAutospacing="1" w:line="240" w:lineRule="auto"/>
        <w:jc w:val="both"/>
      </w:pPr>
      <w:r w:rsidRPr="00583CBB">
        <w:rPr>
          <w:b/>
          <w:bCs/>
        </w:rPr>
        <w:t>Project description (include target application(s)), science involved and predicted research path</w:t>
      </w:r>
      <w:r w:rsidR="00AE00FE">
        <w:rPr>
          <w:b/>
          <w:bCs/>
        </w:rPr>
        <w:t>)</w:t>
      </w:r>
      <w:r w:rsidR="00583CBB">
        <w:t>:</w:t>
      </w:r>
    </w:p>
    <w:p w14:paraId="3569B07B" w14:textId="47DFD413" w:rsidR="00D70D64" w:rsidRDefault="00663474" w:rsidP="007E00DB">
      <w:pPr>
        <w:spacing w:before="100" w:beforeAutospacing="1" w:after="100" w:afterAutospacing="1" w:line="240" w:lineRule="auto"/>
        <w:jc w:val="both"/>
      </w:pPr>
      <w:r w:rsidRPr="00583CBB">
        <w:rPr>
          <w:b/>
          <w:bCs/>
        </w:rPr>
        <w:t xml:space="preserve">Alignment to the </w:t>
      </w:r>
      <w:r w:rsidR="00D70D64" w:rsidRPr="00583CBB">
        <w:rPr>
          <w:b/>
          <w:bCs/>
        </w:rPr>
        <w:t xml:space="preserve">5, 10, 20-year </w:t>
      </w:r>
      <w:r w:rsidRPr="00583CBB">
        <w:rPr>
          <w:b/>
          <w:bCs/>
        </w:rPr>
        <w:t xml:space="preserve">NDEvR </w:t>
      </w:r>
      <w:r w:rsidR="00D70D64" w:rsidRPr="00583CBB">
        <w:rPr>
          <w:b/>
          <w:bCs/>
        </w:rPr>
        <w:t>Vision</w:t>
      </w:r>
      <w:r w:rsidR="00583CBB">
        <w:t>:</w:t>
      </w:r>
    </w:p>
    <w:p w14:paraId="43438F06" w14:textId="5D31B686" w:rsidR="00ED1BCE" w:rsidRPr="00862F5E" w:rsidRDefault="00ED1BCE" w:rsidP="00862F5E">
      <w:pPr>
        <w:spacing w:before="100" w:beforeAutospacing="1" w:after="100" w:afterAutospacing="1" w:line="240" w:lineRule="auto"/>
        <w:rPr>
          <w:b/>
          <w:bCs/>
        </w:rPr>
      </w:pPr>
      <w:r w:rsidRPr="00862F5E">
        <w:rPr>
          <w:b/>
          <w:bCs/>
        </w:rPr>
        <w:t>Indication of complementary source of funding (i.e., other 50% of the studentship)</w:t>
      </w:r>
      <w:r w:rsidR="00862F5E" w:rsidRPr="00862F5E">
        <w:rPr>
          <w:b/>
          <w:bCs/>
        </w:rPr>
        <w:t>:</w:t>
      </w:r>
    </w:p>
    <w:sectPr w:rsidR="00ED1BCE" w:rsidRPr="00862F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61D0" w14:textId="77777777" w:rsidR="00CA6B51" w:rsidRDefault="00CA6B51" w:rsidP="001D5FD1">
      <w:pPr>
        <w:spacing w:after="0" w:line="240" w:lineRule="auto"/>
      </w:pPr>
      <w:r>
        <w:separator/>
      </w:r>
    </w:p>
  </w:endnote>
  <w:endnote w:type="continuationSeparator" w:id="0">
    <w:p w14:paraId="2BE3744C" w14:textId="77777777" w:rsidR="00CA6B51" w:rsidRDefault="00CA6B51" w:rsidP="001D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CFD1" w14:textId="08DB579D" w:rsidR="005970A5" w:rsidRPr="005970A5" w:rsidRDefault="005970A5" w:rsidP="005970A5">
    <w:pPr>
      <w:spacing w:after="80" w:line="256" w:lineRule="auto"/>
      <w:jc w:val="center"/>
      <w:rPr>
        <w:sz w:val="18"/>
        <w:szCs w:val="18"/>
      </w:rPr>
    </w:pPr>
    <w:r w:rsidRPr="005970A5">
      <w:rPr>
        <w:rStyle w:val="Strong"/>
        <w:b w:val="0"/>
        <w:bCs w:val="0"/>
        <w:color w:val="auto"/>
        <w:sz w:val="18"/>
        <w:szCs w:val="18"/>
      </w:rPr>
      <w:t>NDEvR supported Studentship</w:t>
    </w:r>
    <w:r w:rsidR="002D04CD">
      <w:rPr>
        <w:rStyle w:val="Strong"/>
        <w:b w:val="0"/>
        <w:bCs w:val="0"/>
        <w:color w:val="auto"/>
        <w:sz w:val="18"/>
        <w:szCs w:val="18"/>
      </w:rPr>
      <w:t>s</w:t>
    </w:r>
    <w:r w:rsidRPr="005970A5">
      <w:rPr>
        <w:rStyle w:val="Strong"/>
        <w:b w:val="0"/>
        <w:bCs w:val="0"/>
        <w:color w:val="auto"/>
        <w:sz w:val="18"/>
        <w:szCs w:val="18"/>
      </w:rPr>
      <w:t xml:space="preserve"> Application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1549" w14:textId="77777777" w:rsidR="00CA6B51" w:rsidRDefault="00CA6B51" w:rsidP="001D5FD1">
      <w:pPr>
        <w:spacing w:after="0" w:line="240" w:lineRule="auto"/>
      </w:pPr>
      <w:r>
        <w:separator/>
      </w:r>
    </w:p>
  </w:footnote>
  <w:footnote w:type="continuationSeparator" w:id="0">
    <w:p w14:paraId="26D15D20" w14:textId="77777777" w:rsidR="00CA6B51" w:rsidRDefault="00CA6B51" w:rsidP="001D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8A27" w14:textId="39584084" w:rsidR="001D5FD1" w:rsidRPr="001D5FD1" w:rsidRDefault="001D5FD1" w:rsidP="005970A5">
    <w:pPr>
      <w:pStyle w:val="Header"/>
      <w:jc w:val="right"/>
      <w:rPr>
        <w:lang w:val="en-US"/>
      </w:rPr>
    </w:pPr>
    <w:r>
      <w:rPr>
        <w:lang w:val="en-US"/>
      </w:rPr>
      <w:t>V0.</w:t>
    </w:r>
    <w:r w:rsidR="00E76816">
      <w:rPr>
        <w:lang w:val="en-US"/>
      </w:rPr>
      <w:t>5</w:t>
    </w:r>
    <w:r>
      <w:rPr>
        <w:lang w:val="en-US"/>
      </w:rPr>
      <w:t>,</w:t>
    </w:r>
    <w:r w:rsidR="00C86213">
      <w:rPr>
        <w:lang w:val="en-US"/>
      </w:rPr>
      <w:t xml:space="preserve"> </w:t>
    </w:r>
    <w:r w:rsidR="00E76816">
      <w:rPr>
        <w:lang w:val="en-US"/>
      </w:rPr>
      <w:t>02</w:t>
    </w:r>
    <w:r w:rsidR="00E86E97">
      <w:rPr>
        <w:lang w:val="en-US"/>
      </w:rPr>
      <w:t>.0</w:t>
    </w:r>
    <w:r w:rsidR="00E76816">
      <w:rPr>
        <w:lang w:val="en-US"/>
      </w:rPr>
      <w:t>6</w:t>
    </w:r>
    <w:r>
      <w:rPr>
        <w:lang w:val="en-US"/>
      </w:rPr>
      <w:t>.2</w:t>
    </w:r>
    <w:r w:rsidR="00E86E97">
      <w:rPr>
        <w:lang w:val="en-US"/>
      </w:rPr>
      <w:t>02</w:t>
    </w:r>
    <w:r>
      <w:rPr>
        <w:lang w:val="en-US"/>
      </w:rPr>
      <w:t>5</w:t>
    </w:r>
    <w:r>
      <w:rPr>
        <w:lang w:val="en-US"/>
      </w:rPr>
      <w:tab/>
    </w:r>
    <w:r>
      <w:rPr>
        <w:lang w:val="en-US"/>
      </w:rPr>
      <w:tab/>
    </w:r>
    <w:r w:rsidR="005970A5">
      <w:rPr>
        <w:noProof/>
      </w:rPr>
      <w:drawing>
        <wp:inline distT="0" distB="0" distL="0" distR="0" wp14:anchorId="4F7A8E38" wp14:editId="2BAECABE">
          <wp:extent cx="1259777" cy="483147"/>
          <wp:effectExtent l="0" t="0" r="0" b="0"/>
          <wp:docPr id="775223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970" cy="496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A8A"/>
    <w:multiLevelType w:val="hybridMultilevel"/>
    <w:tmpl w:val="42A8A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72DB"/>
    <w:multiLevelType w:val="hybridMultilevel"/>
    <w:tmpl w:val="F6024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EC5"/>
    <w:multiLevelType w:val="hybridMultilevel"/>
    <w:tmpl w:val="15CED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1EB6"/>
    <w:multiLevelType w:val="hybridMultilevel"/>
    <w:tmpl w:val="C698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C53C8"/>
    <w:multiLevelType w:val="multilevel"/>
    <w:tmpl w:val="ACB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675537">
    <w:abstractNumId w:val="1"/>
  </w:num>
  <w:num w:numId="2" w16cid:durableId="1409156265">
    <w:abstractNumId w:val="4"/>
  </w:num>
  <w:num w:numId="3" w16cid:durableId="2138255514">
    <w:abstractNumId w:val="3"/>
  </w:num>
  <w:num w:numId="4" w16cid:durableId="793406491">
    <w:abstractNumId w:val="2"/>
  </w:num>
  <w:num w:numId="5" w16cid:durableId="98574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1"/>
    <w:rsid w:val="000154CA"/>
    <w:rsid w:val="000445FA"/>
    <w:rsid w:val="00055C56"/>
    <w:rsid w:val="00074A3B"/>
    <w:rsid w:val="0008774A"/>
    <w:rsid w:val="00090985"/>
    <w:rsid w:val="000A21D1"/>
    <w:rsid w:val="0011131E"/>
    <w:rsid w:val="00137786"/>
    <w:rsid w:val="001864BF"/>
    <w:rsid w:val="00186F8E"/>
    <w:rsid w:val="001B6F13"/>
    <w:rsid w:val="001C3C0C"/>
    <w:rsid w:val="001D5FD1"/>
    <w:rsid w:val="00230A72"/>
    <w:rsid w:val="002368F0"/>
    <w:rsid w:val="002D04CD"/>
    <w:rsid w:val="002E4692"/>
    <w:rsid w:val="003112D5"/>
    <w:rsid w:val="003168E3"/>
    <w:rsid w:val="00366C7E"/>
    <w:rsid w:val="00397C44"/>
    <w:rsid w:val="003A1856"/>
    <w:rsid w:val="003B39DE"/>
    <w:rsid w:val="003B44C6"/>
    <w:rsid w:val="003C2B33"/>
    <w:rsid w:val="00410FAB"/>
    <w:rsid w:val="00427906"/>
    <w:rsid w:val="00431FE8"/>
    <w:rsid w:val="004512B1"/>
    <w:rsid w:val="00467FF5"/>
    <w:rsid w:val="004B16A0"/>
    <w:rsid w:val="00501749"/>
    <w:rsid w:val="00530BD0"/>
    <w:rsid w:val="0054428F"/>
    <w:rsid w:val="0057649C"/>
    <w:rsid w:val="00583CBB"/>
    <w:rsid w:val="005970A5"/>
    <w:rsid w:val="005C1748"/>
    <w:rsid w:val="005D5182"/>
    <w:rsid w:val="005E12A3"/>
    <w:rsid w:val="00603B05"/>
    <w:rsid w:val="00621248"/>
    <w:rsid w:val="0062372A"/>
    <w:rsid w:val="0063558F"/>
    <w:rsid w:val="00663474"/>
    <w:rsid w:val="006A281D"/>
    <w:rsid w:val="0074091E"/>
    <w:rsid w:val="00770A3C"/>
    <w:rsid w:val="007E00DB"/>
    <w:rsid w:val="00805E59"/>
    <w:rsid w:val="008406A5"/>
    <w:rsid w:val="00862F5E"/>
    <w:rsid w:val="0088496A"/>
    <w:rsid w:val="00896630"/>
    <w:rsid w:val="008A166D"/>
    <w:rsid w:val="008E6577"/>
    <w:rsid w:val="008F4D6F"/>
    <w:rsid w:val="00927AD5"/>
    <w:rsid w:val="00930199"/>
    <w:rsid w:val="00963F3B"/>
    <w:rsid w:val="00986D84"/>
    <w:rsid w:val="00997DE9"/>
    <w:rsid w:val="009E2D38"/>
    <w:rsid w:val="009F0D8C"/>
    <w:rsid w:val="00A01549"/>
    <w:rsid w:val="00AC6DC6"/>
    <w:rsid w:val="00AE00FE"/>
    <w:rsid w:val="00B20D6A"/>
    <w:rsid w:val="00B93151"/>
    <w:rsid w:val="00B964E6"/>
    <w:rsid w:val="00B97E7D"/>
    <w:rsid w:val="00BC3ABC"/>
    <w:rsid w:val="00BE5BF1"/>
    <w:rsid w:val="00C11EBA"/>
    <w:rsid w:val="00C25A5C"/>
    <w:rsid w:val="00C33BE8"/>
    <w:rsid w:val="00C452AC"/>
    <w:rsid w:val="00C80A15"/>
    <w:rsid w:val="00C86213"/>
    <w:rsid w:val="00CA6B51"/>
    <w:rsid w:val="00CD4517"/>
    <w:rsid w:val="00D134FD"/>
    <w:rsid w:val="00D70D64"/>
    <w:rsid w:val="00D812D1"/>
    <w:rsid w:val="00DC7C35"/>
    <w:rsid w:val="00E02757"/>
    <w:rsid w:val="00E43E8D"/>
    <w:rsid w:val="00E76816"/>
    <w:rsid w:val="00E868AB"/>
    <w:rsid w:val="00E86E97"/>
    <w:rsid w:val="00ED1BCE"/>
    <w:rsid w:val="00EE1BE0"/>
    <w:rsid w:val="00F773E2"/>
    <w:rsid w:val="00F9718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ACD7"/>
  <w15:chartTrackingRefBased/>
  <w15:docId w15:val="{8FDBB8CE-E863-43A3-8099-B7483DF5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D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FD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aliases w:val="Actions"/>
    <w:uiPriority w:val="22"/>
    <w:qFormat/>
    <w:rsid w:val="001D5FD1"/>
    <w:rPr>
      <w:b/>
      <w:bCs/>
      <w:color w:val="A02B93" w:themeColor="accent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D1"/>
    <w:rPr>
      <w:sz w:val="22"/>
      <w:szCs w:val="22"/>
    </w:rPr>
  </w:style>
  <w:style w:type="paragraph" w:styleId="Revision">
    <w:name w:val="Revision"/>
    <w:hidden/>
    <w:uiPriority w:val="99"/>
    <w:semiHidden/>
    <w:rsid w:val="002368F0"/>
    <w:pPr>
      <w:spacing w:after="0"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eecc5-0fe7-45ff-a47b-c20e98fc8b5c">
      <Terms xmlns="http://schemas.microsoft.com/office/infopath/2007/PartnerControls"/>
    </lcf76f155ced4ddcb4097134ff3c332f>
    <TaxCatchAll xmlns="afb36e89-ca37-4953-afc6-413921e8f0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3537570B6244E8BDC2C109EF574D0" ma:contentTypeVersion="14" ma:contentTypeDescription="Create a new document." ma:contentTypeScope="" ma:versionID="770b249381d1ff8bc7ef26df90d54cd1">
  <xsd:schema xmlns:xsd="http://www.w3.org/2001/XMLSchema" xmlns:xs="http://www.w3.org/2001/XMLSchema" xmlns:p="http://schemas.microsoft.com/office/2006/metadata/properties" xmlns:ns2="98feecc5-0fe7-45ff-a47b-c20e98fc8b5c" xmlns:ns3="afb36e89-ca37-4953-afc6-413921e8f06f" targetNamespace="http://schemas.microsoft.com/office/2006/metadata/properties" ma:root="true" ma:fieldsID="b25ee25a35ad2e072a90269abd077f65" ns2:_="" ns3:_="">
    <xsd:import namespace="98feecc5-0fe7-45ff-a47b-c20e98fc8b5c"/>
    <xsd:import namespace="afb36e89-ca37-4953-afc6-413921e8f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ecc5-0fe7-45ff-a47b-c20e98fc8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b1d0b5-94e7-4acb-8ac4-e788cbb2f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36e89-ca37-4953-afc6-413921e8f0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45a2ad-45ff-49fa-8998-6467eba32203}" ma:internalName="TaxCatchAll" ma:showField="CatchAllData" ma:web="afb36e89-ca37-4953-afc6-413921e8f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EC8D7-F2F4-4B27-9FFF-BC257C68D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F4E04-07FD-4678-BDBB-9FB487D5CFEE}">
  <ds:schemaRefs>
    <ds:schemaRef ds:uri="http://schemas.microsoft.com/office/2006/metadata/properties"/>
    <ds:schemaRef ds:uri="http://schemas.microsoft.com/office/infopath/2007/PartnerControls"/>
    <ds:schemaRef ds:uri="98feecc5-0fe7-45ff-a47b-c20e98fc8b5c"/>
    <ds:schemaRef ds:uri="afb36e89-ca37-4953-afc6-413921e8f06f"/>
  </ds:schemaRefs>
</ds:datastoreItem>
</file>

<file path=customXml/itemProps3.xml><?xml version="1.0" encoding="utf-8"?>
<ds:datastoreItem xmlns:ds="http://schemas.openxmlformats.org/officeDocument/2006/customXml" ds:itemID="{657FA740-2363-4D20-B9E5-17DF2FA2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eecc5-0fe7-45ff-a47b-c20e98fc8b5c"/>
    <ds:schemaRef ds:uri="afb36e89-ca37-4953-afc6-413921e8f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</dc:creator>
  <cp:keywords/>
  <dc:description/>
  <cp:lastModifiedBy>Maria Arias</cp:lastModifiedBy>
  <cp:revision>75</cp:revision>
  <cp:lastPrinted>2025-04-24T09:07:00Z</cp:lastPrinted>
  <dcterms:created xsi:type="dcterms:W3CDTF">2025-04-24T11:57:00Z</dcterms:created>
  <dcterms:modified xsi:type="dcterms:W3CDTF">2025-06-02T12:50:00Z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0x010100A3B3537570B6244E8BDC2C109EF574D0</vt:lpwstr>
  </property>
  <property fmtid="{D5CDD505-2E9C-101B-9397-08002B2CF9AE}" pid="3" name="MediaServiceImageTags">
    <vt:lpwstr/>
  </property>
</Properties>
</file>